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566DD0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  <w:r w:rsidR="00566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42D" w:rsidRPr="00BF51A5" w:rsidRDefault="00566DD0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профессии 15.01.05 Сварщик (ручной и частично механизированной сварки (наплавки))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агрузка обучающихся - 8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6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 xml:space="preserve"> 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варей и справочников; опознавать основные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мультимедийных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ОУД.02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199 часов.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ОУД.03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171 час.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ОУД.04 История</w:t>
      </w:r>
    </w:p>
    <w:p w:rsidR="0007442D" w:rsidRPr="00BF51A5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системы базовых национальных ценностей на основе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63A0A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171 час.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культуры конца XIII— XVIII веков и их создателях (в том числе связанных с историей своего 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темы «Особенности политики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тему «Был ли неизбежен раскол Европы на два военных блока в конце XIX — начале XX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деятелей времени его правления с использованием историко-биографической литературы (в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 - 171 час.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ОУД.06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72 часа.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ОУД.07 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114 часов.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Характеристика состава, строения, свойств,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изданий, компьютерных баз данных,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ОУД.06 Обществознание (вкл. экономику и право)</w:t>
      </w:r>
    </w:p>
    <w:p w:rsidR="00C75FBB" w:rsidRP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8E57E2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8E57E2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2C2F46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87E49" w:rsidRPr="008E57E2" w:rsidRDefault="002C2F46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171 час.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ОУД.08 Биология</w:t>
      </w:r>
    </w:p>
    <w:p w:rsidR="0007442D" w:rsidRPr="00BF51A5" w:rsidRDefault="0007442D" w:rsidP="00C75FBB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C2F46" w:rsidRPr="00BF51A5" w:rsidRDefault="002C2F46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36 часов.</w:t>
      </w:r>
    </w:p>
    <w:p w:rsidR="00C75FBB" w:rsidRDefault="00C75FBB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07442D" w:rsidRPr="00BF51A5" w:rsidTr="0007442D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C75FBB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07442D" w:rsidRPr="00BF51A5" w:rsidTr="00C75FBB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07442D" w:rsidRPr="00BF51A5" w:rsidTr="00C75FBB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07442D" w:rsidRPr="00BF51A5" w:rsidTr="00C75FBB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07442D" w:rsidRPr="00BF51A5" w:rsidTr="0007442D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07442D" w:rsidRPr="00BF51A5" w:rsidTr="0007442D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07442D" w:rsidRPr="00BF51A5" w:rsidTr="0007442D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07442D" w:rsidRPr="00BF51A5" w:rsidTr="0007442D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07442D" w:rsidRPr="00BF51A5" w:rsidTr="0007442D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6" w:rsidRPr="00BF51A5" w:rsidRDefault="0007442D" w:rsidP="002C2F46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07442D" w:rsidRPr="00BF51A5" w:rsidTr="002C2F46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07442D" w:rsidRPr="00BF51A5" w:rsidTr="002C2F46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07442D" w:rsidRPr="00BF51A5" w:rsidTr="002C2F46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07442D" w:rsidRPr="00BF51A5" w:rsidTr="0007442D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07442D" w:rsidRPr="00BF51A5" w:rsidTr="0007442D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07442D" w:rsidRPr="00BF51A5" w:rsidTr="0007442D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07442D" w:rsidRPr="00BF51A5" w:rsidTr="0007442D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07442D" w:rsidRPr="00BF51A5" w:rsidTr="002C2F46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экосистемы (например, пшеничного поля).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07442D" w:rsidRPr="00BF51A5" w:rsidTr="0007442D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07442D" w:rsidRPr="00BF51A5" w:rsidRDefault="0007442D" w:rsidP="00BF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ОУД.09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72 часа.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065BED">
        <w:trPr>
          <w:trHeight w:val="24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2C2F46" w:rsidRDefault="002C2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Default="00C75FBB" w:rsidP="00C75FBB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ОУД. </w:t>
      </w:r>
      <w:r>
        <w:rPr>
          <w:rFonts w:ascii="Times New Roman" w:hAnsi="Times New Roman" w:cs="Times New Roman"/>
          <w:b/>
          <w:sz w:val="24"/>
          <w:szCs w:val="24"/>
        </w:rPr>
        <w:t>18 Экология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владение умениями логически мыслить, обосновывать место и роль эколо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75FBB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75FBB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2C2F46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C75FBB" w:rsidRDefault="00C75FBB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C2F46" w:rsidRPr="0048020F" w:rsidRDefault="002C2F46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36 часов.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7469"/>
      </w:tblGrid>
      <w:tr w:rsidR="00C75FBB" w:rsidRPr="0048020F" w:rsidTr="00C75FBB">
        <w:trPr>
          <w:trHeight w:val="5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</w:tr>
      <w:tr w:rsidR="00C75FBB" w:rsidRPr="0048020F" w:rsidTr="00C75FBB">
        <w:trPr>
          <w:trHeight w:val="7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C75FBB" w:rsidRPr="0048020F" w:rsidTr="00C75FBB">
        <w:trPr>
          <w:trHeight w:val="7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75FBB" w:rsidRPr="0048020F" w:rsidTr="00C75FBB">
        <w:trPr>
          <w:trHeight w:val="3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C75FBB" w:rsidRPr="0048020F" w:rsidTr="00C75FBB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экологических требований к компонентам окружающей человека среды</w:t>
            </w:r>
          </w:p>
        </w:tc>
      </w:tr>
      <w:tr w:rsidR="00C75FBB" w:rsidRPr="0048020F" w:rsidTr="00C75FBB">
        <w:trPr>
          <w:trHeight w:val="16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характеристиками городской квартиры как основного экотопа современного человека.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</w:tr>
      <w:tr w:rsidR="00C75FBB" w:rsidRPr="0048020F" w:rsidTr="00C75FBB">
        <w:trPr>
          <w:trHeight w:val="9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концеп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устойчивого разви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75FBB" w:rsidRPr="0048020F" w:rsidTr="00C75FBB">
        <w:trPr>
          <w:trHeight w:val="118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C75FBB" w:rsidRPr="0048020F" w:rsidTr="00C75FBB">
        <w:trPr>
          <w:trHeight w:val="32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75FBB" w:rsidRPr="0048020F" w:rsidTr="00C75FBB">
        <w:trPr>
          <w:trHeight w:val="7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C75FBB" w:rsidRPr="0048020F" w:rsidRDefault="00C75FBB" w:rsidP="00C75FBB">
      <w:pPr>
        <w:rPr>
          <w:rFonts w:ascii="Times New Roman" w:hAnsi="Times New Roman" w:cs="Times New Roman"/>
        </w:rPr>
      </w:pPr>
    </w:p>
    <w:p w:rsidR="00C75FBB" w:rsidRPr="00C75FBB" w:rsidRDefault="00C75FBB" w:rsidP="00C75FBB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</w:rPr>
        <w:t>Профильные учебны</w:t>
      </w:r>
      <w:r w:rsidR="002C2F46">
        <w:rPr>
          <w:rFonts w:ascii="Times New Roman" w:hAnsi="Times New Roman" w:cs="Times New Roman"/>
          <w:b/>
          <w:sz w:val="24"/>
          <w:szCs w:val="24"/>
        </w:rPr>
        <w:t>е</w:t>
      </w:r>
      <w:r w:rsidRPr="00C75FB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BF51A5" w:rsidRPr="00BF51A5" w:rsidRDefault="0007442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>01 Математика: алгебра и начала анализа; геометрия</w:t>
      </w: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C2F46" w:rsidRDefault="002C2F46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65BED" w:rsidRPr="002C2F46" w:rsidRDefault="00065BED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C2F46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285 часов.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BF51A5" w:rsidRPr="00065BED" w:rsidRDefault="00BF51A5" w:rsidP="00BF51A5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BF51A5" w:rsidRPr="00BF51A5" w:rsidTr="00B85450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BF51A5" w:rsidRPr="00BF51A5" w:rsidTr="00B85450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BF51A5" w:rsidRPr="00BF51A5" w:rsidTr="00B85450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BF51A5" w:rsidRPr="00BF51A5" w:rsidTr="002C2F46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BF51A5" w:rsidRPr="00BF51A5" w:rsidTr="002C2F46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BF51A5" w:rsidRPr="00BF51A5" w:rsidTr="002C2F46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BF51A5" w:rsidRPr="00BF51A5" w:rsidTr="00B85450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BF51A5" w:rsidRPr="00BF51A5" w:rsidTr="00B85450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BF51A5" w:rsidRPr="00BF51A5" w:rsidTr="00B85450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BF51A5" w:rsidRPr="00BF51A5" w:rsidTr="00B85450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BF51A5" w:rsidRPr="00BF51A5" w:rsidTr="00B85450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065BED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BF51A5" w:rsidRPr="00BF51A5" w:rsidTr="002C2F46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BF51A5" w:rsidRPr="00BF51A5" w:rsidTr="002C2F46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с применением различных способов.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свойств и трафиков </w:t>
            </w:r>
            <w:r w:rsidR="00065BED"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065BED" w:rsidRPr="00C75FBB" w:rsidRDefault="00BF51A5" w:rsidP="00C75FBB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BF51A5" w:rsidRPr="00BF51A5" w:rsidTr="002C2F46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BF51A5" w:rsidRPr="00BF51A5" w:rsidTr="00B85450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C75FBB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065BED" w:rsidRPr="00C75FBB" w:rsidRDefault="00BF51A5" w:rsidP="00C75FBB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BF51A5" w:rsidRPr="00BF51A5" w:rsidTr="00B85450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F51A5" w:rsidRPr="00BF51A5" w:rsidTr="00C75FBB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проекции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BF51A5" w:rsidRPr="00BF51A5" w:rsidTr="00B85450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 w:rsidR="00065BED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BF51A5" w:rsidRPr="00BF51A5" w:rsidTr="00B85450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BF51A5" w:rsidRPr="00BF51A5" w:rsidTr="00B85450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BF51A5" w:rsidRPr="00BF51A5" w:rsidTr="00C75FBB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задач на действия с векторами.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BF51A5" w:rsidRPr="00BF51A5" w:rsidRDefault="00BF51A5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5" w:rsidRDefault="00BF51A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ОУД. 02 Информатика </w:t>
      </w:r>
    </w:p>
    <w:p w:rsidR="00065BED" w:rsidRDefault="00065BE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0F" w:rsidRPr="000E280F" w:rsidRDefault="00485C8B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«Информатика» направлено на достижение следующих целей: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485C8B" w:rsidRPr="00311BE8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311BE8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6770A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770AF"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485C8B" w:rsidRDefault="00485C8B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770AF" w:rsidRPr="00311BE8" w:rsidRDefault="006770AF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108 часов.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0E280F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485C8B" w:rsidRPr="000E280F" w:rsidRDefault="000E280F" w:rsidP="00485C8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485C8B" w:rsidRPr="00311BE8" w:rsidTr="000E280F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C75FB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85C8B" w:rsidRPr="00311BE8" w:rsidTr="000E280F">
        <w:trPr>
          <w:trHeight w:val="1627"/>
        </w:trPr>
        <w:tc>
          <w:tcPr>
            <w:tcW w:w="2184" w:type="dxa"/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E280F" w:rsidRPr="00311BE8" w:rsidRDefault="000E280F" w:rsidP="00487E49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85C8B" w:rsidRPr="00311BE8" w:rsidTr="00C7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3. СРЕДСТВА ИНФОРМАЦИОННЫХ И КОММУНИКАЦИОННЫХ ТЕХНОЛОГИЙ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485C8B" w:rsidRDefault="00485C8B" w:rsidP="00485C8B"/>
    <w:p w:rsidR="006770AF" w:rsidRDefault="0067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1A5" w:rsidRPr="00BF51A5" w:rsidRDefault="00BF51A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 03 Физика</w:t>
      </w:r>
    </w:p>
    <w:p w:rsidR="00065BED" w:rsidRPr="00065BED" w:rsidRDefault="00065BED" w:rsidP="00C75F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6770AF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6770AF"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="006770AF"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6770AF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180 часов.</w:t>
      </w:r>
    </w:p>
    <w:p w:rsidR="006770AF" w:rsidRPr="00065BED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Основы молекулярной физики и термодинамики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термодинамики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 Электродинамика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роли электромагнитных волн в современных исследованиях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Оптика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линейчатого спектра.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атомного ядра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01F6D" w:rsidRDefault="00501F6D" w:rsidP="00E80062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sectPr w:rsidR="00501F6D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58" w:rsidRDefault="00502758" w:rsidP="00C438B3">
      <w:pPr>
        <w:spacing w:after="0" w:line="240" w:lineRule="auto"/>
      </w:pPr>
      <w:r>
        <w:separator/>
      </w:r>
    </w:p>
  </w:endnote>
  <w:endnote w:type="continuationSeparator" w:id="0">
    <w:p w:rsidR="00502758" w:rsidRDefault="00502758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58" w:rsidRDefault="00502758" w:rsidP="00C438B3">
      <w:pPr>
        <w:spacing w:after="0" w:line="240" w:lineRule="auto"/>
      </w:pPr>
      <w:r>
        <w:separator/>
      </w:r>
    </w:p>
  </w:footnote>
  <w:footnote w:type="continuationSeparator" w:id="0">
    <w:p w:rsidR="00502758" w:rsidRDefault="00502758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65BED"/>
    <w:rsid w:val="0007442D"/>
    <w:rsid w:val="000D18CE"/>
    <w:rsid w:val="000E280F"/>
    <w:rsid w:val="000E4A29"/>
    <w:rsid w:val="00163A0A"/>
    <w:rsid w:val="00211EE3"/>
    <w:rsid w:val="002C17F7"/>
    <w:rsid w:val="002C2F46"/>
    <w:rsid w:val="003F2B51"/>
    <w:rsid w:val="004332C4"/>
    <w:rsid w:val="00485C8B"/>
    <w:rsid w:val="00487E49"/>
    <w:rsid w:val="004E3934"/>
    <w:rsid w:val="004E51FC"/>
    <w:rsid w:val="00501F6D"/>
    <w:rsid w:val="00502758"/>
    <w:rsid w:val="00510171"/>
    <w:rsid w:val="00566DD0"/>
    <w:rsid w:val="00656755"/>
    <w:rsid w:val="006770AF"/>
    <w:rsid w:val="00694BB2"/>
    <w:rsid w:val="006A79A4"/>
    <w:rsid w:val="0074330E"/>
    <w:rsid w:val="00835E74"/>
    <w:rsid w:val="008510D7"/>
    <w:rsid w:val="00870886"/>
    <w:rsid w:val="00B50214"/>
    <w:rsid w:val="00B85450"/>
    <w:rsid w:val="00BF51A5"/>
    <w:rsid w:val="00C24EAA"/>
    <w:rsid w:val="00C438B3"/>
    <w:rsid w:val="00C75FBB"/>
    <w:rsid w:val="00CB0970"/>
    <w:rsid w:val="00D04838"/>
    <w:rsid w:val="00D904D9"/>
    <w:rsid w:val="00DE107D"/>
    <w:rsid w:val="00E80062"/>
    <w:rsid w:val="00F479DA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C1DB-1958-4E0C-95A0-49D91292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24630</Words>
  <Characters>140394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2019-02-27T06:42:00Z</dcterms:created>
  <dcterms:modified xsi:type="dcterms:W3CDTF">2019-03-04T07:58:00Z</dcterms:modified>
</cp:coreProperties>
</file>